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2765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27657E" w:rsidRPr="0027657E">
              <w:rPr>
                <w:rFonts w:asciiTheme="majorHAnsi" w:hAnsiTheme="majorHAnsi" w:cs="Arial"/>
                <w:b/>
                <w:sz w:val="18"/>
                <w:szCs w:val="18"/>
              </w:rPr>
              <w:t>Biologically Active Compound</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7657E">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7657E">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436883">
                    <w:rPr>
                      <w:rFonts w:asciiTheme="majorHAnsi" w:hAnsiTheme="majorHAnsi" w:cs="Arial"/>
                      <w:b/>
                      <w:sz w:val="18"/>
                      <w:szCs w:val="18"/>
                    </w:rPr>
                  </w:r>
                  <w:r w:rsidR="00436883">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7657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7657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7657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Pr>
                <w:rFonts w:asciiTheme="majorHAnsi" w:hAnsiTheme="majorHAnsi"/>
                <w:b/>
                <w:sz w:val="18"/>
                <w:szCs w:val="18"/>
              </w:rPr>
              <w:t>88,50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27657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7657E">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Pr>
                <w:rFonts w:asciiTheme="majorHAnsi" w:hAnsiTheme="majorHAnsi" w:cs="Arial"/>
                <w:b/>
                <w:sz w:val="18"/>
                <w:szCs w:val="18"/>
              </w:rPr>
              <w:t>144,75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Chemistry / Study Track: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765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Pr>
                <w:rFonts w:asciiTheme="majorHAnsi" w:hAnsiTheme="majorHAnsi" w:cs="Arial"/>
                <w:b/>
                <w:sz w:val="18"/>
                <w:szCs w:val="18"/>
              </w:rPr>
              <w:t>Majda Srabović</w:t>
            </w:r>
            <w:r w:rsidR="0027657E" w:rsidRPr="0027657E">
              <w:rPr>
                <w:rFonts w:asciiTheme="majorHAnsi" w:hAnsiTheme="majorHAnsi" w:cs="Arial"/>
                <w:b/>
                <w:sz w:val="18"/>
                <w:szCs w:val="18"/>
              </w:rPr>
              <w:t xml:space="preserve">, PhD, Full Professor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7657E" w:rsidRPr="0027657E">
              <w:rPr>
                <w:rFonts w:asciiTheme="majorHAnsi" w:hAnsiTheme="majorHAnsi" w:cs="Arial"/>
                <w:b/>
                <w:sz w:val="18"/>
                <w:szCs w:val="18"/>
              </w:rPr>
              <w:t>The course aims to provide students with knowledge of the biological activity and structural characteristics of most nutritional and polyphenolic compounds, as well as to familiarize them with the basic principles underlying the synthesis of bioactive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By the end of the semester/course, successful students who have continuously fulfilled their obligations throughout the entire teaching period will be able to independently provide a theoretical explanation of the biological activity of most nutritional and phenolic compounds.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Importance and classification of biologically active compounds; the most common sources, structures, and principal functions of natural bioactive compounds. Nutritional bioactive substances (lipids, fats, oils, waxes, phospholipids, sphingolipids). Terpenes, terpene biosynthesis, hemiterpenes, monoterpenes, aliphatic monoterpenes, monocyclic monoterpenes, bicyclic monoterpenes, sesquiterpenes, diterpenes, and tetraterpenes. Biologically active carbohydrates. Polyphenols – classification of phenolic compounds (stilbenes, flavonoids, phenolic acids, tannins). Hydroxycinnamic acids (coumaric, ferulic, caffeic, sinapic). Hydroxybenzoic acids (vanillic, hydroxybenzoic, protocatechuic, syringic, gallic). Flavonoids (anthocyanins, anthoxanthins). Phytoestrogens – classification (isoflavones, coumestans, lignans). Glucans, dietary fibre, beta-1,3/1,6-glucan. Biological activity of beta-glucans. Classification of dietary fibre. Cellulose and its derivatives – hemicellulose, lignin, pectin, plant gums and resins, inulin. Physiological and metabolic effects of dietary fibre. Xanthine derivatives (caffeine, theophylline, theobromine). Synthesis of xanthine derivatives. Importance, application, classification, and biological activity of tannins. Condensed tannins (epigallocatechin (EGC), epicatechin-3-gallate (ECG), epicatechin (EC), epigallocatechin-3-gallate (EGCG)). Coumarins (umbelliferone, bergapten, scopoletin, esculin). Coumarin syntheses (Perkin, Pechmann, Knoevenagel). Coumarin derivatives. Properties and applications. Biological activity of coumarins and their derivatives. Soy isoflavonoids (daidzein, genistein, and glycitein). Coenzyme Q10.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For the purpose of effective course implementation and the attainment of the expected course objectives and student competencies by the end of the semester, various teaching methods are employed, including lectures (L) supported by multimedia resources, active learning techniques, and the active participation and discussion of students, as well as individual seminar papers and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7657E" w:rsidRDefault="006D5B9B" w:rsidP="002765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7657E" w:rsidRPr="0027657E">
              <w:rPr>
                <w:rFonts w:asciiTheme="majorHAnsi" w:hAnsiTheme="majorHAnsi" w:cs="Arial"/>
                <w:b/>
                <w:sz w:val="18"/>
                <w:szCs w:val="18"/>
              </w:rPr>
              <w:t>Tests, seminar paper, final examination, resit examination, and additional resit examination. During the semester, students take two tests, each administered after every 21 contact hours of lectures. Each test carries a maximum of 25 points. Both tests are taken in written form. Each test includes tasks and questions relating exclusively to the material covered between the two tests. The final examination is conducted in written/oral form and consists of tasks and questions covering the entire course content delivered during the semester, with a maximum of 25 points. Students are required to answer the questions and complete the tasks from each area covered within the course. The resit and additional resit examinations are taken according to the same principle as the final examination. As part of the pre-examination requirements, students are also required to prepare and present a seminar paper worth a maximum of 15 points. Throughout the semester, the instructor will monitor each student’s attendance using a specially designed form.</w:t>
            </w:r>
          </w:p>
          <w:p w:rsidR="0027657E" w:rsidRPr="0027657E" w:rsidRDefault="0027657E" w:rsidP="0027657E">
            <w:pPr>
              <w:pStyle w:val="NoSpacing"/>
              <w:rPr>
                <w:rFonts w:asciiTheme="majorHAnsi" w:hAnsiTheme="majorHAnsi" w:cs="Arial"/>
                <w:b/>
                <w:sz w:val="18"/>
                <w:szCs w:val="18"/>
              </w:rPr>
            </w:pP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Assessment criteria</w:t>
            </w:r>
            <w:r w:rsidRPr="0027657E">
              <w:rPr>
                <w:rFonts w:asciiTheme="majorHAnsi" w:hAnsiTheme="majorHAnsi" w:cs="Arial"/>
                <w:b/>
                <w:sz w:val="18"/>
                <w:szCs w:val="18"/>
              </w:rPr>
              <w:tab/>
              <w:t>Maximum number of points</w:t>
            </w:r>
            <w:r w:rsidRPr="0027657E">
              <w:rPr>
                <w:rFonts w:asciiTheme="majorHAnsi" w:hAnsiTheme="majorHAnsi" w:cs="Arial"/>
                <w:b/>
                <w:sz w:val="18"/>
                <w:szCs w:val="18"/>
              </w:rPr>
              <w:tab/>
              <w:t>Minimum passing points</w:t>
            </w: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Class participation</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10</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7</w:t>
            </w: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Seminar paper</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15</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8</w:t>
            </w: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Test I</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25</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13</w:t>
            </w: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Test II</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25</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14</w:t>
            </w:r>
          </w:p>
          <w:p w:rsidR="0027657E" w:rsidRPr="0027657E"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Final examination</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25</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13</w:t>
            </w:r>
          </w:p>
          <w:p w:rsidR="00CB72ED" w:rsidRPr="00B96B4F" w:rsidRDefault="0027657E" w:rsidP="0027657E">
            <w:pPr>
              <w:pStyle w:val="NoSpacing"/>
              <w:rPr>
                <w:rFonts w:asciiTheme="majorHAnsi" w:hAnsiTheme="majorHAnsi" w:cs="Arial"/>
                <w:b/>
                <w:sz w:val="18"/>
                <w:szCs w:val="18"/>
              </w:rPr>
            </w:pPr>
            <w:r w:rsidRPr="0027657E">
              <w:rPr>
                <w:rFonts w:asciiTheme="majorHAnsi" w:hAnsiTheme="majorHAnsi" w:cs="Arial"/>
                <w:b/>
                <w:sz w:val="18"/>
                <w:szCs w:val="18"/>
              </w:rPr>
              <w:t>Total</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100</w:t>
            </w:r>
            <w:r w:rsidRPr="0027657E">
              <w:rPr>
                <w:rFonts w:asciiTheme="majorHAnsi" w:hAnsiTheme="majorHAnsi" w:cs="Arial"/>
                <w:b/>
                <w:sz w:val="18"/>
                <w:szCs w:val="18"/>
              </w:rPr>
              <w:tab/>
            </w:r>
            <w:r>
              <w:rPr>
                <w:rFonts w:asciiTheme="majorHAnsi" w:hAnsiTheme="majorHAnsi" w:cs="Arial"/>
                <w:b/>
                <w:sz w:val="18"/>
                <w:szCs w:val="18"/>
              </w:rPr>
              <w:t xml:space="preserve">                                                          </w:t>
            </w:r>
            <w:r w:rsidRPr="0027657E">
              <w:rPr>
                <w:rFonts w:asciiTheme="majorHAnsi" w:hAnsiTheme="majorHAnsi" w:cs="Arial"/>
                <w:b/>
                <w:sz w:val="18"/>
                <w:szCs w:val="18"/>
              </w:rPr>
              <w:t>55</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E3EFD" w:rsidRPr="00DE3EFD" w:rsidRDefault="006D5B9B" w:rsidP="00DE3EF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3EFD" w:rsidRPr="00DE3EFD">
              <w:rPr>
                <w:rFonts w:asciiTheme="majorHAnsi" w:hAnsiTheme="majorHAnsi" w:cs="Arial"/>
                <w:b/>
                <w:sz w:val="18"/>
                <w:szCs w:val="18"/>
              </w:rPr>
              <w:t xml:space="preserve">Points earned                    Grade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 0-54                             5                                 F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55 – 64                        6                                 E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65 – 74                        7                                 D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75 – 84                        8                                 C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85– 94                         9                                 B </w:t>
            </w:r>
          </w:p>
          <w:p w:rsidR="00CB72ED" w:rsidRPr="00B96B4F"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E3EFD" w:rsidRPr="00DE3EFD" w:rsidRDefault="006D5B9B" w:rsidP="00DE3EF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3EFD" w:rsidRPr="00DE3EFD">
              <w:rPr>
                <w:rFonts w:asciiTheme="majorHAnsi" w:hAnsiTheme="majorHAnsi" w:cs="Arial"/>
                <w:b/>
                <w:sz w:val="18"/>
                <w:szCs w:val="18"/>
              </w:rPr>
              <w:t xml:space="preserve">M.Huremovic, M.srabović, Z.Ademović,E.Huseinović, A.Taletović,Hemija prirodnih organskih jedinjenja2017 M.Srabović, M.Huremović, M.Salihović, Hemija heterocikličnih jedninjenja, 2022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E.Grotewold, The Science of Flavonoids, Springer , 2006(pdf) </w:t>
            </w:r>
          </w:p>
          <w:p w:rsidR="00CB72ED" w:rsidRPr="00B96B4F"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ØM. Andersen, K.R. Markham, Flavonoids Chemistry, Biochemistry and Applications, CRC, 2006 (pdf)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E3EFD" w:rsidRPr="00DE3EFD" w:rsidRDefault="006D5B9B" w:rsidP="00DE3EF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E3EFD" w:rsidRPr="00DE3EFD">
              <w:rPr>
                <w:rFonts w:asciiTheme="majorHAnsi" w:hAnsiTheme="majorHAnsi" w:cs="Arial"/>
                <w:b/>
                <w:sz w:val="18"/>
                <w:szCs w:val="18"/>
              </w:rPr>
              <w:t>Kampulainen, J.T., Salonen, J.T. (1998). Natural antioxidants and anticarcinogens in nutrition, health and disease.</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Royal Society of Chemistry </w:t>
            </w:r>
          </w:p>
          <w:p w:rsidR="00DE3EFD" w:rsidRPr="00DE3EFD"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L.A. Rosa, E.A. Parrilla, G.A.Gonzalez, Fruit and Vegetable Phytochemicals, Chemistry, Nutritional Value and Stability, Wiley Blackwell, 1.ed. 2010. </w:t>
            </w:r>
          </w:p>
          <w:p w:rsidR="00CB72ED" w:rsidRPr="00B96B4F" w:rsidRDefault="00DE3EFD" w:rsidP="00DE3EFD">
            <w:pPr>
              <w:pStyle w:val="NoSpacing"/>
              <w:rPr>
                <w:rFonts w:asciiTheme="majorHAnsi" w:hAnsiTheme="majorHAnsi" w:cs="Arial"/>
                <w:b/>
                <w:sz w:val="18"/>
                <w:szCs w:val="18"/>
              </w:rPr>
            </w:pPr>
            <w:r w:rsidRPr="00DE3EFD">
              <w:rPr>
                <w:rFonts w:asciiTheme="majorHAnsi" w:hAnsiTheme="majorHAnsi" w:cs="Arial"/>
                <w:b/>
                <w:sz w:val="18"/>
                <w:szCs w:val="18"/>
              </w:rPr>
              <w:t xml:space="preserve">Pridham J.B., Phenolics in Plants in Health and Disease, Pergamon Press, New York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E3EFD">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27657E">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27657E">
              <w:rPr>
                <w:rFonts w:asciiTheme="majorHAnsi" w:hAnsiTheme="majorHAnsi" w:cs="Arial"/>
                <w:b/>
                <w:sz w:val="18"/>
                <w:szCs w:val="18"/>
              </w:rPr>
            </w:r>
            <w:r w:rsidRPr="0027657E">
              <w:rPr>
                <w:rFonts w:asciiTheme="majorHAnsi" w:hAnsiTheme="majorHAnsi" w:cs="Arial"/>
                <w:b/>
                <w:sz w:val="18"/>
                <w:szCs w:val="18"/>
              </w:rPr>
              <w:fldChar w:fldCharType="separate"/>
            </w:r>
            <w:r w:rsidR="00FB48B6" w:rsidRPr="0027657E">
              <w:rPr>
                <w:rFonts w:asciiTheme="majorHAnsi" w:hAnsiTheme="majorHAnsi" w:cs="Arial"/>
                <w:b/>
                <w:spacing w:val="215"/>
                <w:sz w:val="18"/>
                <w:szCs w:val="18"/>
              </w:rPr>
              <w:t>    </w:t>
            </w:r>
            <w:r w:rsidR="00FB48B6" w:rsidRPr="0027657E">
              <w:rPr>
                <w:rFonts w:asciiTheme="majorHAnsi" w:hAnsiTheme="majorHAnsi" w:cs="Arial"/>
                <w:b/>
                <w:spacing w:val="3"/>
                <w:sz w:val="18"/>
                <w:szCs w:val="18"/>
              </w:rPr>
              <w:t> </w:t>
            </w:r>
            <w:r w:rsidRPr="0027657E">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883" w:rsidRDefault="00436883">
      <w:pPr>
        <w:spacing w:line="240" w:lineRule="auto"/>
      </w:pPr>
      <w:r>
        <w:separator/>
      </w:r>
    </w:p>
  </w:endnote>
  <w:endnote w:type="continuationSeparator" w:id="0">
    <w:p w:rsidR="00436883" w:rsidRDefault="004368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E6C1F">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E6C1F">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E6C1F">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883" w:rsidRDefault="00436883">
      <w:pPr>
        <w:spacing w:after="0"/>
      </w:pPr>
      <w:r>
        <w:separator/>
      </w:r>
    </w:p>
  </w:footnote>
  <w:footnote w:type="continuationSeparator" w:id="0">
    <w:p w:rsidR="00436883" w:rsidRDefault="004368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57E"/>
    <w:rsid w:val="00276F0F"/>
    <w:rsid w:val="0029297C"/>
    <w:rsid w:val="00293BC4"/>
    <w:rsid w:val="002A64FB"/>
    <w:rsid w:val="002A7A7D"/>
    <w:rsid w:val="002C1992"/>
    <w:rsid w:val="002C2245"/>
    <w:rsid w:val="002D0413"/>
    <w:rsid w:val="002D12FB"/>
    <w:rsid w:val="002D3FFE"/>
    <w:rsid w:val="002D5887"/>
    <w:rsid w:val="002E384F"/>
    <w:rsid w:val="002E6C1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67B42"/>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36883"/>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E3EF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587507-0FED-4889-A2BA-883904C67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6879C-A65B-4953-83D0-246B10A13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2026-03-17T07:20:00Z</dcterms:created>
  <dcterms:modified xsi:type="dcterms:W3CDTF">2026-03-17T07:20:00Z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